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44384" w14:textId="77777777" w:rsidR="00821DD7" w:rsidRDefault="00957327">
      <w:r>
        <w:t>[Name]</w:t>
      </w:r>
    </w:p>
    <w:p w14:paraId="4EAEF80B" w14:textId="77777777" w:rsidR="00821DD7" w:rsidRDefault="00957327">
      <w:r>
        <w:t>[Straße]</w:t>
      </w:r>
    </w:p>
    <w:p w14:paraId="296E96B7" w14:textId="77777777" w:rsidR="00821DD7" w:rsidRDefault="00957327">
      <w:r>
        <w:t>[Ort]</w:t>
      </w:r>
    </w:p>
    <w:p w14:paraId="1298A05B" w14:textId="77777777" w:rsidR="00821DD7" w:rsidRDefault="00957327">
      <w:r>
        <w:t>Deutschland</w:t>
      </w:r>
    </w:p>
    <w:p w14:paraId="044C8D8B" w14:textId="77777777" w:rsidR="00821DD7" w:rsidRDefault="00821DD7"/>
    <w:p w14:paraId="07DEAFBE" w14:textId="77777777" w:rsidR="00821DD7" w:rsidRDefault="00821DD7"/>
    <w:p w14:paraId="0508BFE1" w14:textId="77777777" w:rsidR="00821DD7" w:rsidRDefault="00957327">
      <w:r>
        <w:t>Ministerium für Umwelt der Tschechischen Republik</w:t>
      </w:r>
    </w:p>
    <w:p w14:paraId="3BB5C287" w14:textId="77777777" w:rsidR="00821DD7" w:rsidRDefault="00957327">
      <w:r>
        <w:t>Vršvická 65</w:t>
      </w:r>
    </w:p>
    <w:p w14:paraId="46F479D4" w14:textId="77777777" w:rsidR="00821DD7" w:rsidRDefault="00957327">
      <w:r>
        <w:t>100 10 Praha 10</w:t>
      </w:r>
    </w:p>
    <w:p w14:paraId="2BF28A1E" w14:textId="77777777" w:rsidR="00821DD7" w:rsidRDefault="00957327">
      <w:r>
        <w:t>Tschechische Republik</w:t>
      </w:r>
    </w:p>
    <w:p w14:paraId="12A95B0C" w14:textId="77777777" w:rsidR="00821DD7" w:rsidRDefault="00821DD7"/>
    <w:p w14:paraId="06168D0A" w14:textId="542BA933" w:rsidR="00821DD7" w:rsidRDefault="00957327">
      <w:r>
        <w:t xml:space="preserve">Per E-Mail an: </w:t>
      </w:r>
      <w:hyperlink r:id="rId7" w:history="1">
        <w:r>
          <w:rPr>
            <w:color w:val="000000"/>
          </w:rPr>
          <w:t>smr_tusimice@mzp.gov.cz</w:t>
        </w:r>
      </w:hyperlink>
      <w:r>
        <w:t xml:space="preserve"> und tiskove@mzp.gov.cz</w:t>
      </w:r>
    </w:p>
    <w:p w14:paraId="2A2D7C85" w14:textId="77777777" w:rsidR="00821DD7" w:rsidRDefault="00821DD7"/>
    <w:p w14:paraId="2E0EC386" w14:textId="77777777" w:rsidR="00821DD7" w:rsidRDefault="00821DD7"/>
    <w:p w14:paraId="076FB0EB" w14:textId="77777777" w:rsidR="00821DD7" w:rsidRDefault="00821DD7"/>
    <w:p w14:paraId="62E2D48D" w14:textId="77777777" w:rsidR="00821DD7" w:rsidRDefault="00957327">
      <w:r>
        <w:rPr>
          <w:b/>
          <w:sz w:val="28"/>
          <w:szCs w:val="28"/>
        </w:rPr>
        <w:t>Einspruch gegen das geplante SMR-Kernkraftwerksprojekt am Standort Tušimice (Tschechische Republik)</w:t>
      </w:r>
    </w:p>
    <w:p w14:paraId="3301135E" w14:textId="77777777" w:rsidR="00821DD7" w:rsidRDefault="00821DD7"/>
    <w:p w14:paraId="4B50D770" w14:textId="77777777" w:rsidR="00821DD7" w:rsidRDefault="00821DD7"/>
    <w:p w14:paraId="7765B8CE" w14:textId="77777777" w:rsidR="00821DD7" w:rsidRDefault="00821DD7"/>
    <w:p w14:paraId="146F9DDE" w14:textId="785F3861" w:rsidR="00821DD7" w:rsidRDefault="00957327">
      <w:r>
        <w:t xml:space="preserve">Sehr geehrte </w:t>
      </w:r>
      <w:r w:rsidR="00C86FAD">
        <w:t>Damen und Herren</w:t>
      </w:r>
      <w:r>
        <w:t>,</w:t>
      </w:r>
    </w:p>
    <w:p w14:paraId="1907F7D6" w14:textId="77777777" w:rsidR="00821DD7" w:rsidRDefault="00821DD7"/>
    <w:p w14:paraId="61BB8A55" w14:textId="77777777" w:rsidR="00821DD7" w:rsidRDefault="00957327">
      <w:r>
        <w:t>hiermit erhebe ich formell und rechtmäßig Einspruch gegen das geplante Vorhaben zur Errichtung und Inbetriebnahme von Small Modular Reactors (SMR) am Kraftwerksstandort Tušimice in der Tschechischen Republik.</w:t>
      </w:r>
    </w:p>
    <w:p w14:paraId="72B6C48E" w14:textId="77777777" w:rsidR="006323A0" w:rsidRDefault="006323A0"/>
    <w:p w14:paraId="689F6814" w14:textId="77777777" w:rsidR="006323A0" w:rsidRDefault="006323A0">
      <w:r>
        <w:t xml:space="preserve">Hier meine Begründungen: </w:t>
      </w:r>
    </w:p>
    <w:p w14:paraId="4668C811" w14:textId="77777777" w:rsidR="00821DD7" w:rsidRDefault="00821DD7"/>
    <w:p w14:paraId="3CD0173B" w14:textId="77777777" w:rsidR="00821DD7" w:rsidRDefault="00957327">
      <w:pPr>
        <w:numPr>
          <w:ilvl w:val="0"/>
          <w:numId w:val="6"/>
        </w:numPr>
        <w:shd w:val="clear" w:color="auto" w:fill="FFFFFF"/>
      </w:pPr>
      <w:r>
        <w:rPr>
          <w:b/>
          <w:color w:val="000000"/>
        </w:rPr>
        <w:t>Fehlende Endlagerlösung für hochradioaktiven und gefährlichen Abfall</w:t>
      </w:r>
    </w:p>
    <w:p w14:paraId="16181139" w14:textId="77777777" w:rsidR="00821DD7" w:rsidRDefault="00821DD7"/>
    <w:p w14:paraId="34596291" w14:textId="77777777" w:rsidR="00821DD7" w:rsidRDefault="00957327">
      <w:r>
        <w:t>Bis heute gibt es weder in der Tschechischen Republik noch in der EU ein betriebsfähiges Endlager für hochradioaktive gefährliche Abfälle. Die geplanten SMR-Reaktoren (z.B. Rolls-Royce SMR) erzeugen Brennelementabfälle mit vergleichbarem Radiotoxizitätsprofil wie konventionelle Reaktoren. Die Abfallmenge ist laut Expertenschätzung sogar deutlich höher – bis zu</w:t>
      </w:r>
      <w:r w:rsidR="006323A0">
        <w:t>m</w:t>
      </w:r>
      <w:r>
        <w:t xml:space="preserve"> </w:t>
      </w:r>
      <w:r w:rsidR="006323A0">
        <w:t xml:space="preserve">Dreißigfachen </w:t>
      </w:r>
      <w:r>
        <w:t>mehr</w:t>
      </w:r>
      <w:r w:rsidR="006323A0">
        <w:t>.</w:t>
      </w:r>
      <w:r>
        <w:t xml:space="preserve"> Eine Ausweitung der Nuklearkapazität ohne gesichertes Langzeitlagerungskonzept – also ein Endlager im eigenen Land – </w:t>
      </w:r>
      <w:r>
        <w:rPr>
          <w:u w:val="single"/>
        </w:rPr>
        <w:t>widerspricht dem Vorsorgeprinzip gemäß Art. 191 AEUV</w:t>
      </w:r>
      <w:r>
        <w:t>.</w:t>
      </w:r>
    </w:p>
    <w:p w14:paraId="64272A9E" w14:textId="77777777" w:rsidR="00821DD7" w:rsidRDefault="00821DD7"/>
    <w:p w14:paraId="4D9AD659" w14:textId="77777777" w:rsidR="00821DD7" w:rsidRDefault="00957327">
      <w:r>
        <w:rPr>
          <w:b/>
        </w:rPr>
        <w:t>2. Schwere Umweltschäden durch Uranabbau</w:t>
      </w:r>
    </w:p>
    <w:p w14:paraId="481E0433" w14:textId="77777777" w:rsidR="00821DD7" w:rsidRDefault="00821DD7"/>
    <w:p w14:paraId="4293F9A2" w14:textId="77777777" w:rsidR="00821DD7" w:rsidRDefault="00957327">
      <w:r>
        <w:t xml:space="preserve">Der für den Betrieb benötigte Brennstoff (angereichertes Uran) wird in der Regel aus Ländern wie Kasachstan, Kanada, Australien, Namibia, etc. bezogen. Der Uranabbau verursacht dort erhebliche </w:t>
      </w:r>
      <w:r>
        <w:rPr>
          <w:u w:val="single"/>
        </w:rPr>
        <w:t>ökologische und gesundheitliche Schäden</w:t>
      </w:r>
      <w:r>
        <w:t>:</w:t>
      </w:r>
    </w:p>
    <w:p w14:paraId="41DCA547" w14:textId="77777777" w:rsidR="00821DD7" w:rsidRDefault="00821DD7"/>
    <w:p w14:paraId="48BD5E13" w14:textId="77777777" w:rsidR="00821DD7" w:rsidRDefault="00957327">
      <w:pPr>
        <w:numPr>
          <w:ilvl w:val="0"/>
          <w:numId w:val="7"/>
        </w:numPr>
        <w:shd w:val="clear" w:color="auto" w:fill="FFFFFF"/>
      </w:pPr>
      <w:r>
        <w:rPr>
          <w:color w:val="000000"/>
        </w:rPr>
        <w:t xml:space="preserve">Freisetzung radioaktiver Stäube und </w:t>
      </w:r>
      <w:r w:rsidR="006323A0">
        <w:rPr>
          <w:color w:val="000000"/>
        </w:rPr>
        <w:t xml:space="preserve">von </w:t>
      </w:r>
      <w:r>
        <w:rPr>
          <w:color w:val="000000"/>
        </w:rPr>
        <w:t>Radon</w:t>
      </w:r>
      <w:r w:rsidR="006323A0">
        <w:rPr>
          <w:color w:val="000000"/>
        </w:rPr>
        <w:t>-G</w:t>
      </w:r>
      <w:r>
        <w:rPr>
          <w:color w:val="000000"/>
        </w:rPr>
        <w:t>as</w:t>
      </w:r>
    </w:p>
    <w:p w14:paraId="23CECB1B" w14:textId="77777777" w:rsidR="00821DD7" w:rsidRDefault="00957327">
      <w:pPr>
        <w:numPr>
          <w:ilvl w:val="0"/>
          <w:numId w:val="2"/>
        </w:numPr>
        <w:shd w:val="clear" w:color="auto" w:fill="FFFFFF"/>
      </w:pPr>
      <w:r>
        <w:rPr>
          <w:color w:val="000000"/>
        </w:rPr>
        <w:t>(Irreversible) Kontamination von Böden und Grundwasser</w:t>
      </w:r>
    </w:p>
    <w:p w14:paraId="4F529A3B" w14:textId="77777777" w:rsidR="00821DD7" w:rsidRDefault="00957327">
      <w:pPr>
        <w:numPr>
          <w:ilvl w:val="0"/>
          <w:numId w:val="2"/>
        </w:numPr>
        <w:shd w:val="clear" w:color="auto" w:fill="FFFFFF"/>
      </w:pPr>
      <w:r>
        <w:rPr>
          <w:color w:val="000000"/>
        </w:rPr>
        <w:t>Langfristige Belastung indigener und lokaler Gemeinschaften</w:t>
      </w:r>
    </w:p>
    <w:p w14:paraId="2EF3B7F4" w14:textId="77777777" w:rsidR="00821DD7" w:rsidRDefault="00821DD7"/>
    <w:p w14:paraId="56E4E268" w14:textId="77777777" w:rsidR="00821DD7" w:rsidRDefault="00957327">
      <w:r>
        <w:t xml:space="preserve">Diese Schäden werden in den meisten ELA-Verfahren systematisch </w:t>
      </w:r>
      <w:r>
        <w:rPr>
          <w:u w:val="single"/>
        </w:rPr>
        <w:t>ausgeklammert</w:t>
      </w:r>
      <w:r>
        <w:t xml:space="preserve">, obwohl sie direkte Voraussetzung für den Betrieb sind. Die (volkswirtschaftlichen) Kosten, die durch den Uranabbau und dessen Folgen entstehen, sind deshalb bei der Wirtschaftlichkeits-betrachtung zwingend </w:t>
      </w:r>
      <w:r>
        <w:rPr>
          <w:u w:val="single"/>
        </w:rPr>
        <w:t>vorher</w:t>
      </w:r>
      <w:r>
        <w:t xml:space="preserve"> mit zu berücksichtigen.</w:t>
      </w:r>
    </w:p>
    <w:p w14:paraId="25CE96A9" w14:textId="77777777" w:rsidR="00821DD7" w:rsidRDefault="00821DD7"/>
    <w:p w14:paraId="017693EF" w14:textId="77777777" w:rsidR="006323A0" w:rsidRDefault="006323A0">
      <w:pPr>
        <w:rPr>
          <w:b/>
        </w:rPr>
      </w:pPr>
    </w:p>
    <w:p w14:paraId="3D15F6B1" w14:textId="77777777" w:rsidR="006323A0" w:rsidRDefault="006323A0">
      <w:pPr>
        <w:rPr>
          <w:b/>
        </w:rPr>
      </w:pPr>
    </w:p>
    <w:p w14:paraId="0EA5A6FE" w14:textId="77777777" w:rsidR="00821DD7" w:rsidRDefault="00957327">
      <w:r>
        <w:rPr>
          <w:b/>
        </w:rPr>
        <w:lastRenderedPageBreak/>
        <w:t>3. Nicht abgeschlossene Umweltverträglichkeitsprüfung (EIA)</w:t>
      </w:r>
    </w:p>
    <w:p w14:paraId="0404102E" w14:textId="77777777" w:rsidR="00821DD7" w:rsidRDefault="00821DD7"/>
    <w:p w14:paraId="2AED6724" w14:textId="77777777" w:rsidR="00821DD7" w:rsidRDefault="00957327">
      <w:r>
        <w:t xml:space="preserve">Der aktuelle Projektstand lässt keine hinreichende Bewertung </w:t>
      </w:r>
      <w:r w:rsidR="006323A0">
        <w:t xml:space="preserve">hinsichtlich folgender Faktoren zu: </w:t>
      </w:r>
    </w:p>
    <w:p w14:paraId="709A8CEB" w14:textId="77777777" w:rsidR="00821DD7" w:rsidRDefault="00821DD7"/>
    <w:p w14:paraId="741D0017" w14:textId="77777777" w:rsidR="00821DD7" w:rsidRDefault="00957327">
      <w:pPr>
        <w:numPr>
          <w:ilvl w:val="0"/>
          <w:numId w:val="8"/>
        </w:numPr>
        <w:shd w:val="clear" w:color="auto" w:fill="FFFFFF"/>
      </w:pPr>
      <w:r>
        <w:rPr>
          <w:color w:val="000000"/>
        </w:rPr>
        <w:t>Kühlwassernutzung und thermische Einleitung,</w:t>
      </w:r>
    </w:p>
    <w:p w14:paraId="179961C7" w14:textId="77777777" w:rsidR="00821DD7" w:rsidRDefault="00957327">
      <w:pPr>
        <w:numPr>
          <w:ilvl w:val="0"/>
          <w:numId w:val="3"/>
        </w:numPr>
        <w:shd w:val="clear" w:color="auto" w:fill="FFFFFF"/>
      </w:pPr>
      <w:r>
        <w:rPr>
          <w:color w:val="000000"/>
        </w:rPr>
        <w:t>Transportrisiken für nukleare Großkomponenten,</w:t>
      </w:r>
    </w:p>
    <w:p w14:paraId="7248C6AA" w14:textId="77777777" w:rsidR="00821DD7" w:rsidRDefault="00957327">
      <w:pPr>
        <w:numPr>
          <w:ilvl w:val="0"/>
          <w:numId w:val="3"/>
        </w:numPr>
        <w:shd w:val="clear" w:color="auto" w:fill="FFFFFF"/>
      </w:pPr>
      <w:r>
        <w:rPr>
          <w:color w:val="000000"/>
        </w:rPr>
        <w:t>Strahlenbelastung durch Normalbetrieb und Störfälle und</w:t>
      </w:r>
    </w:p>
    <w:p w14:paraId="6CFA4A83" w14:textId="77777777" w:rsidR="00821DD7" w:rsidRDefault="00957327">
      <w:pPr>
        <w:numPr>
          <w:ilvl w:val="0"/>
          <w:numId w:val="3"/>
        </w:numPr>
        <w:shd w:val="clear" w:color="auto" w:fill="FFFFFF"/>
      </w:pPr>
      <w:r>
        <w:rPr>
          <w:color w:val="000000"/>
        </w:rPr>
        <w:t>langfristige Folgen der Atomkraft</w:t>
      </w:r>
    </w:p>
    <w:p w14:paraId="59096D03" w14:textId="77777777" w:rsidR="00821DD7" w:rsidRDefault="00821DD7"/>
    <w:p w14:paraId="59A7FBCF" w14:textId="77777777" w:rsidR="00821DD7" w:rsidRDefault="00957327">
      <w:r>
        <w:t>Eine belastbare Prüfung nach Espoo-Konvention (grenzüberschreitende Umweltprüfung) liegt bislang nicht öffentlich vor. Auch eine umfassende transnationale Beteiligung (z.B. Deutschland, Österreich) ist nach derzeitigem Stand nicht gewährleistet.</w:t>
      </w:r>
    </w:p>
    <w:p w14:paraId="1C74075F" w14:textId="77777777" w:rsidR="006323A0" w:rsidRDefault="006323A0"/>
    <w:p w14:paraId="2A4B92D1" w14:textId="77777777" w:rsidR="00821DD7" w:rsidRDefault="00821DD7"/>
    <w:p w14:paraId="304C2475" w14:textId="77777777" w:rsidR="00821DD7" w:rsidRDefault="00957327">
      <w:r>
        <w:rPr>
          <w:b/>
        </w:rPr>
        <w:t>4. Alternativenprüfung unzureichend</w:t>
      </w:r>
    </w:p>
    <w:p w14:paraId="741F6FBF" w14:textId="77777777" w:rsidR="00821DD7" w:rsidRDefault="00821DD7"/>
    <w:p w14:paraId="750EEB05" w14:textId="77777777" w:rsidR="00821DD7" w:rsidRDefault="00957327">
      <w:r>
        <w:t xml:space="preserve">Gemäß </w:t>
      </w:r>
      <w:r>
        <w:rPr>
          <w:u w:val="single"/>
        </w:rPr>
        <w:t>der EU-UVP-Richtlinie (2011/92/EU, Art. 5 Abs. 1) ist eine ernsthafte Prüfung von realistischen Alternativen zwingend erforderlich</w:t>
      </w:r>
      <w:r>
        <w:t>. Eine vergleichende Betrachtung von</w:t>
      </w:r>
    </w:p>
    <w:p w14:paraId="585B09BD" w14:textId="77777777" w:rsidR="00821DD7" w:rsidRDefault="00821DD7"/>
    <w:p w14:paraId="3791794B" w14:textId="77777777" w:rsidR="00821DD7" w:rsidRDefault="00957327">
      <w:pPr>
        <w:numPr>
          <w:ilvl w:val="0"/>
          <w:numId w:val="9"/>
        </w:numPr>
        <w:shd w:val="clear" w:color="auto" w:fill="FFFFFF"/>
      </w:pPr>
      <w:r>
        <w:rPr>
          <w:color w:val="000000"/>
        </w:rPr>
        <w:t>Erneuerbaren Energien (Wind, Solar, Speicher),</w:t>
      </w:r>
    </w:p>
    <w:p w14:paraId="62E6FFB8" w14:textId="77777777" w:rsidR="00821DD7" w:rsidRDefault="00957327">
      <w:pPr>
        <w:numPr>
          <w:ilvl w:val="0"/>
          <w:numId w:val="4"/>
        </w:numPr>
        <w:shd w:val="clear" w:color="auto" w:fill="FFFFFF"/>
      </w:pPr>
      <w:r>
        <w:rPr>
          <w:color w:val="000000"/>
        </w:rPr>
        <w:t>Energieeffizienzmaßnahmen und</w:t>
      </w:r>
    </w:p>
    <w:p w14:paraId="52ED2F01" w14:textId="77777777" w:rsidR="00821DD7" w:rsidRDefault="00957327">
      <w:pPr>
        <w:numPr>
          <w:ilvl w:val="0"/>
          <w:numId w:val="4"/>
        </w:numPr>
        <w:shd w:val="clear" w:color="auto" w:fill="FFFFFF"/>
      </w:pPr>
      <w:r>
        <w:rPr>
          <w:color w:val="000000"/>
        </w:rPr>
        <w:t>Flexiblen Gas- oder Wärmepumpentechnologien</w:t>
      </w:r>
    </w:p>
    <w:p w14:paraId="7031082F" w14:textId="77777777" w:rsidR="00821DD7" w:rsidRDefault="00821DD7">
      <w:pPr>
        <w:shd w:val="clear" w:color="auto" w:fill="FFFFFF"/>
        <w:rPr>
          <w:color w:val="000000"/>
        </w:rPr>
      </w:pPr>
    </w:p>
    <w:p w14:paraId="2413F693" w14:textId="77777777" w:rsidR="00821DD7" w:rsidRDefault="00957327">
      <w:r>
        <w:t>fehlt bislang oder ist nur oberflächlich und damit unzureichend</w:t>
      </w:r>
      <w:r w:rsidR="006323A0">
        <w:t xml:space="preserve"> gegeben</w:t>
      </w:r>
      <w:r>
        <w:t>.</w:t>
      </w:r>
    </w:p>
    <w:p w14:paraId="2CE736DA" w14:textId="77777777" w:rsidR="00821DD7" w:rsidRDefault="00821DD7"/>
    <w:p w14:paraId="3D300DAE" w14:textId="77777777" w:rsidR="00821DD7" w:rsidRDefault="00957327">
      <w:r>
        <w:rPr>
          <w:b/>
        </w:rPr>
        <w:t>5. Standortproblematik &amp; Infrastrukturfolgen</w:t>
      </w:r>
    </w:p>
    <w:p w14:paraId="7789A6CC" w14:textId="77777777" w:rsidR="00821DD7" w:rsidRDefault="00821DD7"/>
    <w:p w14:paraId="76D0D119" w14:textId="77777777" w:rsidR="00821DD7" w:rsidRDefault="00957327">
      <w:r>
        <w:t>Zwar liegt Tušimice auf einem bestehenden Kraftwerksareal, doch die Umrüstung auf ein nukleares Großprojekt mit mehreren Hundert Megawatt elektrischer Leistung bringt erhebliche Risiken</w:t>
      </w:r>
      <w:r w:rsidR="006323A0">
        <w:t xml:space="preserve"> mit sich</w:t>
      </w:r>
      <w:r>
        <w:t>:</w:t>
      </w:r>
    </w:p>
    <w:p w14:paraId="43F2A8FD" w14:textId="77777777" w:rsidR="00821DD7" w:rsidRDefault="00821DD7"/>
    <w:p w14:paraId="4F49C3F5" w14:textId="77777777" w:rsidR="00821DD7" w:rsidRDefault="00957327">
      <w:pPr>
        <w:numPr>
          <w:ilvl w:val="0"/>
          <w:numId w:val="10"/>
        </w:numPr>
        <w:shd w:val="clear" w:color="auto" w:fill="FFFFFF"/>
        <w:ind w:left="360"/>
      </w:pPr>
      <w:r>
        <w:rPr>
          <w:color w:val="000000"/>
        </w:rPr>
        <w:t>Umbau- und Rückbaufolgen der bisherigen Kohleinfrastruktur,</w:t>
      </w:r>
    </w:p>
    <w:p w14:paraId="5BEF63DF" w14:textId="77777777" w:rsidR="00821DD7" w:rsidRDefault="00957327">
      <w:pPr>
        <w:numPr>
          <w:ilvl w:val="0"/>
          <w:numId w:val="5"/>
        </w:numPr>
        <w:shd w:val="clear" w:color="auto" w:fill="FFFFFF"/>
        <w:ind w:left="360"/>
      </w:pPr>
      <w:r>
        <w:rPr>
          <w:color w:val="000000"/>
        </w:rPr>
        <w:t>mögliche chemische und radioaktive Altlasten im Boden und</w:t>
      </w:r>
    </w:p>
    <w:p w14:paraId="09D74200" w14:textId="77777777" w:rsidR="00821DD7" w:rsidRDefault="00957327">
      <w:pPr>
        <w:numPr>
          <w:ilvl w:val="0"/>
          <w:numId w:val="5"/>
        </w:numPr>
        <w:shd w:val="clear" w:color="auto" w:fill="FFFFFF"/>
        <w:ind w:left="360"/>
      </w:pPr>
      <w:r>
        <w:rPr>
          <w:color w:val="000000"/>
        </w:rPr>
        <w:t>neue Risiken durch Großkomponententransporte und Baustellenbetrieb</w:t>
      </w:r>
      <w:r w:rsidR="006323A0">
        <w:rPr>
          <w:color w:val="000000"/>
        </w:rPr>
        <w:t>.</w:t>
      </w:r>
    </w:p>
    <w:p w14:paraId="220BA144" w14:textId="77777777" w:rsidR="00821DD7" w:rsidRDefault="00821DD7"/>
    <w:p w14:paraId="33366813" w14:textId="77777777" w:rsidR="00821DD7" w:rsidRDefault="00957327">
      <w:r>
        <w:t xml:space="preserve">Diese Aspekte sind bisher </w:t>
      </w:r>
      <w:r>
        <w:rPr>
          <w:u w:val="single"/>
        </w:rPr>
        <w:t>nicht detailliert bewertet</w:t>
      </w:r>
      <w:r>
        <w:t xml:space="preserve"> worden.</w:t>
      </w:r>
    </w:p>
    <w:p w14:paraId="4943677C" w14:textId="77777777" w:rsidR="00821DD7" w:rsidRDefault="00821DD7"/>
    <w:p w14:paraId="39E5DDEF" w14:textId="77777777" w:rsidR="00821DD7" w:rsidRDefault="00957327">
      <w:r>
        <w:t>Auch ergibt sich durch solche Anlagen ein hohes Droh- und Erpressungspotenzial. Die drastisch veränderte Sicherheitslage Europas durch die imperialistische und völkerrechtswidrige Politik Russlands legt nahe, dass die</w:t>
      </w:r>
      <w:r w:rsidR="006323A0">
        <w:t xml:space="preserve"> die oben genannten Bedrohungen </w:t>
      </w:r>
      <w:r>
        <w:t xml:space="preserve"> keineswegs nur theoretische Annahmen sind.</w:t>
      </w:r>
    </w:p>
    <w:p w14:paraId="427FE427" w14:textId="77777777" w:rsidR="00821DD7" w:rsidRDefault="00821DD7"/>
    <w:p w14:paraId="3F608D33" w14:textId="77777777" w:rsidR="00821DD7" w:rsidRDefault="00957327">
      <w:r>
        <w:rPr>
          <w:b/>
        </w:rPr>
        <w:t>6. Klimapolitisch kontraproduktiv</w:t>
      </w:r>
    </w:p>
    <w:p w14:paraId="7615BFFB" w14:textId="77777777" w:rsidR="00821DD7" w:rsidRDefault="00821DD7"/>
    <w:p w14:paraId="3B72F3F3" w14:textId="77777777" w:rsidR="00821DD7" w:rsidRDefault="00957327">
      <w:r>
        <w:t>Die SMR-Technologie ist bislang weltweit</w:t>
      </w:r>
      <w:r w:rsidR="006323A0">
        <w:t xml:space="preserve"> weder ausgereift noch komm</w:t>
      </w:r>
      <w:r>
        <w:t>erziell etabliert und deshalb auch anfällig für Störungen. Die Bauzeiten und Kostenrisiken sind hoch, der Beitrag zur Dekarbonisierung im relevanten Zeitraum (bis 2035) mehr als zweifelhaft. Gleichzeitig verzögert die politische und finanzielle Konzentration auf SMRs die Umsetzung rasch verfügbarer Klimamaßnahmen im Bereich Erneuerbare</w:t>
      </w:r>
      <w:r w:rsidR="006323A0">
        <w:t xml:space="preserve"> Energien</w:t>
      </w:r>
      <w:r>
        <w:t>, Laststeuerung und Effizienz.</w:t>
      </w:r>
    </w:p>
    <w:p w14:paraId="44057D2E" w14:textId="77777777" w:rsidR="00821DD7" w:rsidRDefault="00821DD7"/>
    <w:p w14:paraId="21A027A1" w14:textId="77777777" w:rsidR="00821DD7" w:rsidRDefault="00957327">
      <w:r>
        <w:t>__________________________________________________________________________</w:t>
      </w:r>
    </w:p>
    <w:p w14:paraId="181CFDC5" w14:textId="77777777" w:rsidR="00821DD7" w:rsidRDefault="00821DD7"/>
    <w:p w14:paraId="2B401D79" w14:textId="77777777" w:rsidR="00821DD7" w:rsidRDefault="00957327">
      <w:r>
        <w:rPr>
          <w:b/>
          <w:sz w:val="28"/>
          <w:szCs w:val="28"/>
        </w:rPr>
        <w:t>Forderung:</w:t>
      </w:r>
    </w:p>
    <w:p w14:paraId="55B7798E" w14:textId="77777777" w:rsidR="00821DD7" w:rsidRDefault="00821DD7"/>
    <w:p w14:paraId="7ABF2B2D" w14:textId="77777777" w:rsidR="00821DD7" w:rsidRDefault="00957327">
      <w:r>
        <w:lastRenderedPageBreak/>
        <w:t>Aufgrund der oben genannten Argumente fordere ich:</w:t>
      </w:r>
    </w:p>
    <w:p w14:paraId="12E86173" w14:textId="77777777" w:rsidR="00821DD7" w:rsidRDefault="00821DD7"/>
    <w:p w14:paraId="77EF353E" w14:textId="77777777" w:rsidR="00821DD7" w:rsidRDefault="00957327">
      <w:r>
        <w:t xml:space="preserve">1. </w:t>
      </w:r>
      <w:r w:rsidR="006323A0">
        <w:t>d</w:t>
      </w:r>
      <w:r>
        <w:t xml:space="preserve">en </w:t>
      </w:r>
      <w:r>
        <w:rPr>
          <w:b/>
        </w:rPr>
        <w:t>sofortigen Stopp</w:t>
      </w:r>
      <w:r>
        <w:t xml:space="preserve"> aller vorbereitenden Maßnahmen für das SMR-Projekt in Tušimice bis zur Vorlage einer </w:t>
      </w:r>
      <w:r>
        <w:rPr>
          <w:u w:val="single"/>
        </w:rPr>
        <w:t>vollständigen, unabhängigen und grenzüberschreitenden Umweltverträglichkeitsprüfung</w:t>
      </w:r>
      <w:r w:rsidR="006323A0">
        <w:t xml:space="preserve">, </w:t>
      </w:r>
    </w:p>
    <w:p w14:paraId="2EDA7BC4" w14:textId="77777777" w:rsidR="00821DD7" w:rsidRDefault="00821DD7"/>
    <w:p w14:paraId="0ECAEBF1" w14:textId="77777777" w:rsidR="00821DD7" w:rsidRDefault="00957327">
      <w:r>
        <w:t xml:space="preserve">2. </w:t>
      </w:r>
      <w:r w:rsidR="006323A0">
        <w:t>d</w:t>
      </w:r>
      <w:r>
        <w:t xml:space="preserve">ie </w:t>
      </w:r>
      <w:r>
        <w:rPr>
          <w:b/>
        </w:rPr>
        <w:t>Berücksichtigung des Uranabbaus</w:t>
      </w:r>
      <w:r>
        <w:t xml:space="preserve"> und der </w:t>
      </w:r>
      <w:r>
        <w:rPr>
          <w:b/>
        </w:rPr>
        <w:t>fehlenden Endlagerlösung</w:t>
      </w:r>
      <w:r>
        <w:t xml:space="preserve"> als integraler Bestandteil der Umweltfolgenabschätzung</w:t>
      </w:r>
      <w:r w:rsidR="006323A0">
        <w:t>,</w:t>
      </w:r>
    </w:p>
    <w:p w14:paraId="19CA38F2" w14:textId="77777777" w:rsidR="00821DD7" w:rsidRDefault="00821DD7"/>
    <w:p w14:paraId="7DF75ED2" w14:textId="77777777" w:rsidR="00821DD7" w:rsidRDefault="00957327">
      <w:r>
        <w:t xml:space="preserve">3. </w:t>
      </w:r>
      <w:r w:rsidR="006323A0">
        <w:t>e</w:t>
      </w:r>
      <w:r>
        <w:t xml:space="preserve">ine </w:t>
      </w:r>
      <w:r>
        <w:rPr>
          <w:b/>
        </w:rPr>
        <w:t>ergebnisoffene Alternativenprüfung</w:t>
      </w:r>
      <w:r>
        <w:t xml:space="preserve"> im Sinne der EU-Gesetzgebung</w:t>
      </w:r>
      <w:r w:rsidR="006323A0">
        <w:t xml:space="preserve">, </w:t>
      </w:r>
    </w:p>
    <w:p w14:paraId="15FDA65D" w14:textId="77777777" w:rsidR="00821DD7" w:rsidRDefault="00821DD7"/>
    <w:p w14:paraId="3EE3EBDE" w14:textId="77777777" w:rsidR="00821DD7" w:rsidRDefault="00957327">
      <w:r>
        <w:t xml:space="preserve">4. </w:t>
      </w:r>
      <w:r w:rsidR="006323A0">
        <w:t>d</w:t>
      </w:r>
      <w:r>
        <w:t xml:space="preserve">ie </w:t>
      </w:r>
      <w:r>
        <w:rPr>
          <w:b/>
        </w:rPr>
        <w:t>transparente Beteiligung</w:t>
      </w:r>
      <w:r>
        <w:t xml:space="preserve"> aller potenziell betroffenen Nachbarstaaten gemäß Espoo-Konvention.</w:t>
      </w:r>
    </w:p>
    <w:p w14:paraId="48DC7253" w14:textId="77777777" w:rsidR="00821DD7" w:rsidRDefault="00821DD7"/>
    <w:p w14:paraId="4C1AA95A" w14:textId="77777777" w:rsidR="00821DD7" w:rsidRDefault="00821DD7"/>
    <w:p w14:paraId="35DFBB4F" w14:textId="77777777" w:rsidR="00821DD7" w:rsidRDefault="006323A0">
      <w:r>
        <w:t xml:space="preserve">Nach den Reaktorkatastrophen von </w:t>
      </w:r>
      <w:r w:rsidR="00957327">
        <w:t xml:space="preserve">Tschernobyl und Fukushima </w:t>
      </w:r>
      <w:r>
        <w:t xml:space="preserve">ist nicht nachvollziehbar, wie </w:t>
      </w:r>
      <w:r w:rsidR="00957327">
        <w:t>an dieser höchst gefährlichen Technologie überhaupt noch festgehalten werden kann</w:t>
      </w:r>
      <w:r>
        <w:t xml:space="preserve">. </w:t>
      </w:r>
      <w:r w:rsidR="00957327">
        <w:t>Die Planung weitere</w:t>
      </w:r>
      <w:r>
        <w:t>r</w:t>
      </w:r>
      <w:r w:rsidR="00957327">
        <w:t xml:space="preserve"> Atom</w:t>
      </w:r>
      <w:r>
        <w:t>kraft</w:t>
      </w:r>
      <w:r w:rsidR="00957327">
        <w:t>anlagen ist fahrlässig, widerspricht der europäischen Energiewende und ist verantwortungslos kommenden Generationen gegenüber</w:t>
      </w:r>
      <w:r w:rsidR="00927231">
        <w:t xml:space="preserve"> – nicht nur für uns als Anrainerstaaten, sondern natürlich auch für Ihre eigene Bevölkerung. </w:t>
      </w:r>
    </w:p>
    <w:p w14:paraId="6321A8D4" w14:textId="77777777" w:rsidR="00821DD7" w:rsidRDefault="00821DD7"/>
    <w:p w14:paraId="1D56B2C5" w14:textId="77777777" w:rsidR="00821DD7" w:rsidRDefault="00957327">
      <w:r>
        <w:t xml:space="preserve">Da ich in der Evakuierungszone wohne, bin ich </w:t>
      </w:r>
      <w:r w:rsidR="006323A0">
        <w:t xml:space="preserve">mit meiner Familie </w:t>
      </w:r>
      <w:r>
        <w:t>direkt betroffen. Unfälle wie Tschernobyl haben uns gezeigt, welch weitreichende Folgen ein Unfall haben kann. Wildschweine und Pilze sind in Bayern (Deutschland) trotz der relativ großen Entfernung zur Ukraine z.B. noch immer radioaktiv verseucht. Ein Unfall in Tušimice wäre also kein rein tschechisches Problem, sondern hätte gravierende Auswirkungen auf ganz Mitteleuropa</w:t>
      </w:r>
      <w:r w:rsidR="006323A0">
        <w:t xml:space="preserve">, besonders natürlich die Anrainerstaaten und die Bundesländer Sachsen, Thüringen und Bayern - </w:t>
      </w:r>
      <w:r>
        <w:t>und zwar über Generationen hinweg.</w:t>
      </w:r>
    </w:p>
    <w:p w14:paraId="2214FCAB" w14:textId="77777777" w:rsidR="00821DD7" w:rsidRDefault="00821DD7"/>
    <w:p w14:paraId="1A2E0271" w14:textId="77777777" w:rsidR="00927231" w:rsidRDefault="006323A0">
      <w:r>
        <w:t>Ich bitte um Bestätigung dieses Einspruchs</w:t>
      </w:r>
      <w:r w:rsidR="00927231">
        <w:t xml:space="preserve"> und erwarte eine Antwort Ihrerseits.</w:t>
      </w:r>
    </w:p>
    <w:p w14:paraId="7220661D" w14:textId="77777777" w:rsidR="00927231" w:rsidRDefault="00927231">
      <w:r>
        <w:t xml:space="preserve"> </w:t>
      </w:r>
    </w:p>
    <w:p w14:paraId="5FFA6829" w14:textId="77777777" w:rsidR="006323A0" w:rsidRDefault="00927231">
      <w:r>
        <w:t xml:space="preserve">Mit nachbarschaftlichen </w:t>
      </w:r>
      <w:r w:rsidR="006323A0">
        <w:t xml:space="preserve">Grüßen, </w:t>
      </w:r>
    </w:p>
    <w:p w14:paraId="247AD007" w14:textId="77777777" w:rsidR="00821DD7" w:rsidRDefault="00821DD7"/>
    <w:p w14:paraId="168B5BEF" w14:textId="77777777" w:rsidR="00821DD7" w:rsidRDefault="006323A0">
      <w:r>
        <w:t>(Ort)</w:t>
      </w:r>
      <w:r w:rsidR="00957327">
        <w:t>, den 1</w:t>
      </w:r>
      <w:r>
        <w:t>1</w:t>
      </w:r>
      <w:r w:rsidR="00957327">
        <w:t>.06.2025</w:t>
      </w:r>
    </w:p>
    <w:p w14:paraId="7B52ACEC" w14:textId="77777777" w:rsidR="00821DD7" w:rsidRDefault="00821DD7"/>
    <w:p w14:paraId="2DC0D66B" w14:textId="77777777" w:rsidR="00821DD7" w:rsidRDefault="00957327">
      <w:r>
        <w:t>gezeichnet</w:t>
      </w:r>
    </w:p>
    <w:p w14:paraId="59EE83F0" w14:textId="77777777" w:rsidR="00821DD7" w:rsidRDefault="00821DD7"/>
    <w:p w14:paraId="2E486974" w14:textId="77777777" w:rsidR="00821DD7" w:rsidRDefault="00957327">
      <w:r>
        <w:t>[Name]</w:t>
      </w:r>
    </w:p>
    <w:p w14:paraId="2B0243C2" w14:textId="77777777" w:rsidR="00821DD7" w:rsidRDefault="00821DD7"/>
    <w:p w14:paraId="10EE414C" w14:textId="77777777" w:rsidR="00821DD7" w:rsidRDefault="00957327">
      <w:r>
        <w:t>[E-Mail]</w:t>
      </w:r>
    </w:p>
    <w:sectPr w:rsidR="00821DD7">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E26FC" w14:textId="77777777" w:rsidR="00957327" w:rsidRDefault="00957327">
      <w:r>
        <w:separator/>
      </w:r>
    </w:p>
  </w:endnote>
  <w:endnote w:type="continuationSeparator" w:id="0">
    <w:p w14:paraId="410C35E6" w14:textId="77777777" w:rsidR="00957327" w:rsidRDefault="00957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C096D" w14:textId="77777777" w:rsidR="00957327" w:rsidRDefault="00957327">
      <w:r>
        <w:rPr>
          <w:color w:val="000000"/>
        </w:rPr>
        <w:separator/>
      </w:r>
    </w:p>
  </w:footnote>
  <w:footnote w:type="continuationSeparator" w:id="0">
    <w:p w14:paraId="479823DD" w14:textId="77777777" w:rsidR="00957327" w:rsidRDefault="009573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B4BDF"/>
    <w:multiLevelType w:val="multilevel"/>
    <w:tmpl w:val="D0BA1042"/>
    <w:styleLink w:val="WWNum5"/>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7D37E7E"/>
    <w:multiLevelType w:val="multilevel"/>
    <w:tmpl w:val="FDBEF92C"/>
    <w:styleLink w:val="WWNum3"/>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64A77D5"/>
    <w:multiLevelType w:val="multilevel"/>
    <w:tmpl w:val="D570DC14"/>
    <w:styleLink w:val="WWNum4"/>
    <w:lvl w:ilvl="0">
      <w:numFmt w:val="bullet"/>
      <w:lvlText w:val="●"/>
      <w:lvlJc w:val="left"/>
      <w:pPr>
        <w:ind w:left="360" w:hanging="360"/>
      </w:pPr>
      <w:rPr>
        <w:rFonts w:ascii="Noto Sans Symbols" w:eastAsia="Noto Sans Symbols" w:hAnsi="Noto Sans Symbols" w:cs="Noto Sans Symbols"/>
      </w:rPr>
    </w:lvl>
    <w:lvl w:ilvl="1">
      <w:numFmt w:val="bullet"/>
      <w:lvlText w:val="o"/>
      <w:lvlJc w:val="left"/>
      <w:pPr>
        <w:ind w:left="1080" w:hanging="360"/>
      </w:pPr>
      <w:rPr>
        <w:rFonts w:ascii="Courier New" w:eastAsia="Courier New" w:hAnsi="Courier New" w:cs="Courier New"/>
      </w:rPr>
    </w:lvl>
    <w:lvl w:ilvl="2">
      <w:numFmt w:val="bullet"/>
      <w:lvlText w:val="▪"/>
      <w:lvlJc w:val="left"/>
      <w:pPr>
        <w:ind w:left="1800" w:hanging="360"/>
      </w:pPr>
      <w:rPr>
        <w:rFonts w:ascii="Noto Sans Symbols" w:eastAsia="Noto Sans Symbols" w:hAnsi="Noto Sans Symbols" w:cs="Noto Sans Symbols"/>
      </w:rPr>
    </w:lvl>
    <w:lvl w:ilvl="3">
      <w:numFmt w:val="bullet"/>
      <w:lvlText w:val="●"/>
      <w:lvlJc w:val="left"/>
      <w:pPr>
        <w:ind w:left="2520" w:hanging="360"/>
      </w:pPr>
      <w:rPr>
        <w:rFonts w:ascii="Noto Sans Symbols" w:eastAsia="Noto Sans Symbols" w:hAnsi="Noto Sans Symbols" w:cs="Noto Sans Symbols"/>
      </w:rPr>
    </w:lvl>
    <w:lvl w:ilvl="4">
      <w:numFmt w:val="bullet"/>
      <w:lvlText w:val="o"/>
      <w:lvlJc w:val="left"/>
      <w:pPr>
        <w:ind w:left="3240" w:hanging="360"/>
      </w:pPr>
      <w:rPr>
        <w:rFonts w:ascii="Courier New" w:eastAsia="Courier New" w:hAnsi="Courier New" w:cs="Courier New"/>
      </w:rPr>
    </w:lvl>
    <w:lvl w:ilvl="5">
      <w:numFmt w:val="bullet"/>
      <w:lvlText w:val="▪"/>
      <w:lvlJc w:val="left"/>
      <w:pPr>
        <w:ind w:left="3960" w:hanging="360"/>
      </w:pPr>
      <w:rPr>
        <w:rFonts w:ascii="Noto Sans Symbols" w:eastAsia="Noto Sans Symbols" w:hAnsi="Noto Sans Symbols" w:cs="Noto Sans Symbols"/>
      </w:rPr>
    </w:lvl>
    <w:lvl w:ilvl="6">
      <w:numFmt w:val="bullet"/>
      <w:lvlText w:val="●"/>
      <w:lvlJc w:val="left"/>
      <w:pPr>
        <w:ind w:left="4680" w:hanging="360"/>
      </w:pPr>
      <w:rPr>
        <w:rFonts w:ascii="Noto Sans Symbols" w:eastAsia="Noto Sans Symbols" w:hAnsi="Noto Sans Symbols" w:cs="Noto Sans Symbols"/>
      </w:rPr>
    </w:lvl>
    <w:lvl w:ilvl="7">
      <w:numFmt w:val="bullet"/>
      <w:lvlText w:val="o"/>
      <w:lvlJc w:val="left"/>
      <w:pPr>
        <w:ind w:left="5400" w:hanging="360"/>
      </w:pPr>
      <w:rPr>
        <w:rFonts w:ascii="Courier New" w:eastAsia="Courier New" w:hAnsi="Courier New" w:cs="Courier New"/>
      </w:rPr>
    </w:lvl>
    <w:lvl w:ilvl="8">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F9614BB"/>
    <w:multiLevelType w:val="multilevel"/>
    <w:tmpl w:val="D8B40752"/>
    <w:styleLink w:val="WWNum2"/>
    <w:lvl w:ilvl="0">
      <w:numFmt w:val="bullet"/>
      <w:lvlText w:val="●"/>
      <w:lvlJc w:val="left"/>
      <w:pPr>
        <w:ind w:left="360" w:hanging="360"/>
      </w:pPr>
      <w:rPr>
        <w:rFonts w:ascii="Noto Sans Symbols" w:eastAsia="Noto Sans Symbols" w:hAnsi="Noto Sans Symbols" w:cs="Noto Sans Symbols"/>
      </w:rPr>
    </w:lvl>
    <w:lvl w:ilvl="1">
      <w:numFmt w:val="bullet"/>
      <w:lvlText w:val="o"/>
      <w:lvlJc w:val="left"/>
      <w:pPr>
        <w:ind w:left="1080" w:hanging="360"/>
      </w:pPr>
      <w:rPr>
        <w:rFonts w:ascii="Courier New" w:eastAsia="Courier New" w:hAnsi="Courier New" w:cs="Courier New"/>
      </w:rPr>
    </w:lvl>
    <w:lvl w:ilvl="2">
      <w:numFmt w:val="bullet"/>
      <w:lvlText w:val="▪"/>
      <w:lvlJc w:val="left"/>
      <w:pPr>
        <w:ind w:left="1800" w:hanging="360"/>
      </w:pPr>
      <w:rPr>
        <w:rFonts w:ascii="Noto Sans Symbols" w:eastAsia="Noto Sans Symbols" w:hAnsi="Noto Sans Symbols" w:cs="Noto Sans Symbols"/>
      </w:rPr>
    </w:lvl>
    <w:lvl w:ilvl="3">
      <w:numFmt w:val="bullet"/>
      <w:lvlText w:val="●"/>
      <w:lvlJc w:val="left"/>
      <w:pPr>
        <w:ind w:left="2520" w:hanging="360"/>
      </w:pPr>
      <w:rPr>
        <w:rFonts w:ascii="Noto Sans Symbols" w:eastAsia="Noto Sans Symbols" w:hAnsi="Noto Sans Symbols" w:cs="Noto Sans Symbols"/>
      </w:rPr>
    </w:lvl>
    <w:lvl w:ilvl="4">
      <w:numFmt w:val="bullet"/>
      <w:lvlText w:val="o"/>
      <w:lvlJc w:val="left"/>
      <w:pPr>
        <w:ind w:left="3240" w:hanging="360"/>
      </w:pPr>
      <w:rPr>
        <w:rFonts w:ascii="Courier New" w:eastAsia="Courier New" w:hAnsi="Courier New" w:cs="Courier New"/>
      </w:rPr>
    </w:lvl>
    <w:lvl w:ilvl="5">
      <w:numFmt w:val="bullet"/>
      <w:lvlText w:val="▪"/>
      <w:lvlJc w:val="left"/>
      <w:pPr>
        <w:ind w:left="3960" w:hanging="360"/>
      </w:pPr>
      <w:rPr>
        <w:rFonts w:ascii="Noto Sans Symbols" w:eastAsia="Noto Sans Symbols" w:hAnsi="Noto Sans Symbols" w:cs="Noto Sans Symbols"/>
      </w:rPr>
    </w:lvl>
    <w:lvl w:ilvl="6">
      <w:numFmt w:val="bullet"/>
      <w:lvlText w:val="●"/>
      <w:lvlJc w:val="left"/>
      <w:pPr>
        <w:ind w:left="4680" w:hanging="360"/>
      </w:pPr>
      <w:rPr>
        <w:rFonts w:ascii="Noto Sans Symbols" w:eastAsia="Noto Sans Symbols" w:hAnsi="Noto Sans Symbols" w:cs="Noto Sans Symbols"/>
      </w:rPr>
    </w:lvl>
    <w:lvl w:ilvl="7">
      <w:numFmt w:val="bullet"/>
      <w:lvlText w:val="o"/>
      <w:lvlJc w:val="left"/>
      <w:pPr>
        <w:ind w:left="5400" w:hanging="360"/>
      </w:pPr>
      <w:rPr>
        <w:rFonts w:ascii="Courier New" w:eastAsia="Courier New" w:hAnsi="Courier New" w:cs="Courier New"/>
      </w:rPr>
    </w:lvl>
    <w:lvl w:ilvl="8">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6F6553B2"/>
    <w:multiLevelType w:val="multilevel"/>
    <w:tmpl w:val="43CC6BF8"/>
    <w:styleLink w:val="WWNum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num w:numId="1" w16cid:durableId="1353342500">
    <w:abstractNumId w:val="4"/>
  </w:num>
  <w:num w:numId="2" w16cid:durableId="1653019904">
    <w:abstractNumId w:val="3"/>
  </w:num>
  <w:num w:numId="3" w16cid:durableId="1482235531">
    <w:abstractNumId w:val="1"/>
  </w:num>
  <w:num w:numId="4" w16cid:durableId="2069692533">
    <w:abstractNumId w:val="2"/>
  </w:num>
  <w:num w:numId="5" w16cid:durableId="1046875160">
    <w:abstractNumId w:val="0"/>
  </w:num>
  <w:num w:numId="6" w16cid:durableId="453645676">
    <w:abstractNumId w:val="4"/>
    <w:lvlOverride w:ilvl="0">
      <w:startOverride w:val="1"/>
    </w:lvlOverride>
  </w:num>
  <w:num w:numId="7" w16cid:durableId="311106352">
    <w:abstractNumId w:val="3"/>
  </w:num>
  <w:num w:numId="8" w16cid:durableId="764501949">
    <w:abstractNumId w:val="1"/>
  </w:num>
  <w:num w:numId="9" w16cid:durableId="307515435">
    <w:abstractNumId w:val="2"/>
  </w:num>
  <w:num w:numId="10" w16cid:durableId="1057095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1DD7"/>
    <w:rsid w:val="00454F7F"/>
    <w:rsid w:val="006323A0"/>
    <w:rsid w:val="00821DD7"/>
    <w:rsid w:val="008942FB"/>
    <w:rsid w:val="00927231"/>
    <w:rsid w:val="00957327"/>
    <w:rsid w:val="00A91610"/>
    <w:rsid w:val="00C86FAD"/>
    <w:rsid w:val="00CB3962"/>
    <w:rsid w:val="00F46D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33511"/>
  <w15:docId w15:val="{15C2741D-5EE1-4167-896D-D6C2B7330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autoSpaceDN w:val="0"/>
      <w:textAlignment w:val="baseline"/>
    </w:pPr>
    <w:rPr>
      <w:kern w:val="3"/>
      <w:sz w:val="22"/>
      <w:szCs w:val="22"/>
      <w:lang w:eastAsia="zh-CN" w:bidi="hi-IN"/>
    </w:rPr>
  </w:style>
  <w:style w:type="paragraph" w:styleId="berschrift1">
    <w:name w:val="heading 1"/>
    <w:basedOn w:val="Standard"/>
    <w:next w:val="Textbody"/>
    <w:uiPriority w:val="9"/>
    <w:qFormat/>
    <w:pPr>
      <w:keepNext/>
      <w:keepLines/>
      <w:spacing w:before="360" w:after="80"/>
      <w:outlineLvl w:val="0"/>
    </w:pPr>
    <w:rPr>
      <w:rFonts w:ascii="Calibri" w:eastAsia="Calibri" w:hAnsi="Calibri" w:cs="Calibri"/>
      <w:color w:val="2F5496"/>
      <w:sz w:val="40"/>
      <w:szCs w:val="40"/>
    </w:rPr>
  </w:style>
  <w:style w:type="paragraph" w:styleId="berschrift2">
    <w:name w:val="heading 2"/>
    <w:basedOn w:val="Standard"/>
    <w:next w:val="Textbody"/>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berschrift3">
    <w:name w:val="heading 3"/>
    <w:basedOn w:val="Standard"/>
    <w:next w:val="Textbody"/>
    <w:uiPriority w:val="9"/>
    <w:semiHidden/>
    <w:unhideWhenUsed/>
    <w:qFormat/>
    <w:pPr>
      <w:keepNext/>
      <w:keepLines/>
      <w:spacing w:before="160" w:after="80"/>
      <w:outlineLvl w:val="2"/>
    </w:pPr>
    <w:rPr>
      <w:rFonts w:ascii="Calibri" w:eastAsia="Calibri" w:hAnsi="Calibri" w:cs="Calibri"/>
      <w:color w:val="2F5496"/>
      <w:sz w:val="28"/>
      <w:szCs w:val="28"/>
    </w:rPr>
  </w:style>
  <w:style w:type="paragraph" w:styleId="berschrift4">
    <w:name w:val="heading 4"/>
    <w:basedOn w:val="Standard"/>
    <w:next w:val="Textbody"/>
    <w:uiPriority w:val="9"/>
    <w:semiHidden/>
    <w:unhideWhenUsed/>
    <w:qFormat/>
    <w:pPr>
      <w:keepNext/>
      <w:keepLines/>
      <w:spacing w:before="80" w:after="40"/>
      <w:outlineLvl w:val="3"/>
    </w:pPr>
    <w:rPr>
      <w:rFonts w:ascii="Calibri" w:eastAsia="Calibri" w:hAnsi="Calibri" w:cs="Calibri"/>
      <w:i/>
      <w:color w:val="2F5496"/>
    </w:rPr>
  </w:style>
  <w:style w:type="paragraph" w:styleId="berschrift5">
    <w:name w:val="heading 5"/>
    <w:basedOn w:val="Standard"/>
    <w:next w:val="Textbody"/>
    <w:uiPriority w:val="9"/>
    <w:semiHidden/>
    <w:unhideWhenUsed/>
    <w:qFormat/>
    <w:pPr>
      <w:keepNext/>
      <w:keepLines/>
      <w:spacing w:before="80" w:after="40"/>
      <w:outlineLvl w:val="4"/>
    </w:pPr>
    <w:rPr>
      <w:rFonts w:ascii="Calibri" w:eastAsia="Calibri" w:hAnsi="Calibri" w:cs="Calibri"/>
      <w:color w:val="2F5496"/>
    </w:rPr>
  </w:style>
  <w:style w:type="paragraph" w:styleId="berschrift6">
    <w:name w:val="heading 6"/>
    <w:basedOn w:val="Standard"/>
    <w:next w:val="Textbody"/>
    <w:uiPriority w:val="9"/>
    <w:semiHidden/>
    <w:unhideWhenUsed/>
    <w:qFormat/>
    <w:pPr>
      <w:keepNext/>
      <w:keepLines/>
      <w:spacing w:before="40"/>
      <w:outlineLvl w:val="5"/>
    </w:pPr>
    <w:rPr>
      <w:rFonts w:ascii="Calibri" w:eastAsia="Calibri" w:hAnsi="Calibri" w:cs="Calibri"/>
      <w:i/>
      <w:color w:val="59595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style>
  <w:style w:type="paragraph" w:styleId="Liste">
    <w:name w:val="List"/>
    <w:basedOn w:val="Textbody"/>
  </w:style>
  <w:style w:type="paragraph" w:styleId="Beschriftung">
    <w:name w:val="caption"/>
    <w:basedOn w:val="Standard"/>
    <w:pPr>
      <w:suppressLineNumbers/>
      <w:spacing w:before="120" w:after="120"/>
    </w:pPr>
    <w:rPr>
      <w:i/>
      <w:iCs/>
      <w:sz w:val="24"/>
      <w:szCs w:val="24"/>
    </w:rPr>
  </w:style>
  <w:style w:type="paragraph" w:customStyle="1" w:styleId="Index">
    <w:name w:val="Index"/>
    <w:basedOn w:val="Standard"/>
    <w:pPr>
      <w:suppressLineNumbers/>
    </w:pPr>
  </w:style>
  <w:style w:type="paragraph" w:styleId="Titel">
    <w:name w:val="Title"/>
    <w:basedOn w:val="Standard"/>
    <w:next w:val="Untertitel"/>
    <w:uiPriority w:val="10"/>
    <w:qFormat/>
    <w:pPr>
      <w:spacing w:after="80"/>
    </w:pPr>
    <w:rPr>
      <w:rFonts w:ascii="Calibri" w:eastAsia="Calibri" w:hAnsi="Calibri" w:cs="Calibri"/>
      <w:b/>
      <w:bCs/>
      <w:sz w:val="56"/>
      <w:szCs w:val="56"/>
    </w:rPr>
  </w:style>
  <w:style w:type="paragraph" w:styleId="Untertitel">
    <w:name w:val="Subtitle"/>
    <w:basedOn w:val="Standard"/>
    <w:next w:val="Textbody"/>
    <w:uiPriority w:val="11"/>
    <w:qFormat/>
    <w:pPr>
      <w:spacing w:after="160"/>
    </w:pPr>
    <w:rPr>
      <w:rFonts w:ascii="Calibri" w:eastAsia="Calibri" w:hAnsi="Calibri" w:cs="Calibri"/>
      <w:i/>
      <w:iCs/>
      <w:color w:val="595959"/>
      <w:sz w:val="28"/>
      <w:szCs w:val="28"/>
    </w:rPr>
  </w:style>
  <w:style w:type="character" w:customStyle="1" w:styleId="ListLabel1">
    <w:name w:val="ListLabel 1"/>
    <w:rPr>
      <w:rFonts w:eastAsia="Noto Sans Symbols" w:cs="Noto Sans Symbols"/>
    </w:rPr>
  </w:style>
  <w:style w:type="character" w:customStyle="1" w:styleId="ListLabel2">
    <w:name w:val="ListLabel 2"/>
    <w:rPr>
      <w:rFonts w:eastAsia="Courier New" w:cs="Courier New"/>
    </w:rPr>
  </w:style>
  <w:style w:type="character" w:customStyle="1" w:styleId="Internetlink">
    <w:name w:val="Internet link"/>
    <w:rPr>
      <w:color w:val="000080"/>
      <w:u w:val="single"/>
    </w:rPr>
  </w:style>
  <w:style w:type="numbering" w:customStyle="1" w:styleId="WWNum1">
    <w:name w:val="WWNum1"/>
    <w:basedOn w:val="KeineListe"/>
    <w:pPr>
      <w:numPr>
        <w:numId w:val="1"/>
      </w:numPr>
    </w:pPr>
  </w:style>
  <w:style w:type="numbering" w:customStyle="1" w:styleId="WWNum2">
    <w:name w:val="WWNum2"/>
    <w:basedOn w:val="KeineListe"/>
    <w:pPr>
      <w:numPr>
        <w:numId w:val="2"/>
      </w:numPr>
    </w:pPr>
  </w:style>
  <w:style w:type="numbering" w:customStyle="1" w:styleId="WWNum3">
    <w:name w:val="WWNum3"/>
    <w:basedOn w:val="KeineListe"/>
    <w:pPr>
      <w:numPr>
        <w:numId w:val="3"/>
      </w:numPr>
    </w:pPr>
  </w:style>
  <w:style w:type="numbering" w:customStyle="1" w:styleId="WWNum4">
    <w:name w:val="WWNum4"/>
    <w:basedOn w:val="KeineListe"/>
    <w:pPr>
      <w:numPr>
        <w:numId w:val="4"/>
      </w:numPr>
    </w:pPr>
  </w:style>
  <w:style w:type="numbering" w:customStyle="1" w:styleId="WWNum5">
    <w:name w:val="WWNum5"/>
    <w:basedOn w:val="KeineListe"/>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mr_tusimice@mzp.gov.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832</Words>
  <Characters>5244</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6064</CharactersWithSpaces>
  <SharedDoc>false</SharedDoc>
  <HLinks>
    <vt:vector size="6" baseType="variant">
      <vt:variant>
        <vt:i4>4521991</vt:i4>
      </vt:variant>
      <vt:variant>
        <vt:i4>0</vt:i4>
      </vt:variant>
      <vt:variant>
        <vt:i4>0</vt:i4>
      </vt:variant>
      <vt:variant>
        <vt:i4>5</vt:i4>
      </vt:variant>
      <vt:variant>
        <vt:lpwstr>mailto:smr_tusimice@mzp.gov.cz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Findeis-Dorn</dc:creator>
  <cp:keywords/>
  <cp:lastModifiedBy>Esther Frey</cp:lastModifiedBy>
  <cp:revision>3</cp:revision>
  <cp:lastPrinted>2025-06-11T19:51:00Z</cp:lastPrinted>
  <dcterms:created xsi:type="dcterms:W3CDTF">2025-06-13T11:29:00Z</dcterms:created>
  <dcterms:modified xsi:type="dcterms:W3CDTF">2025-06-13T11:32:00Z</dcterms:modified>
</cp:coreProperties>
</file>